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A770A" w14:paraId="021F9DBB" w14:textId="77777777" w:rsidTr="00DA770A">
        <w:tc>
          <w:tcPr>
            <w:tcW w:w="0" w:type="auto"/>
            <w:shd w:val="clear" w:color="auto" w:fill="FFFFFF"/>
            <w:tcMar>
              <w:top w:w="300" w:type="dxa"/>
              <w:left w:w="600" w:type="dxa"/>
              <w:bottom w:w="300" w:type="dxa"/>
              <w:right w:w="600" w:type="dxa"/>
            </w:tcMar>
            <w:vAlign w:val="center"/>
          </w:tcPr>
          <w:p w14:paraId="0C60B8BF" w14:textId="77777777" w:rsidR="00DA770A" w:rsidRDefault="00DA770A">
            <w:pPr>
              <w:spacing w:line="360" w:lineRule="auto"/>
              <w:rPr>
                <w:rFonts w:ascii="Arial" w:hAnsi="Arial" w:cs="Arial"/>
                <w:color w:val="000000"/>
                <w:sz w:val="24"/>
                <w:szCs w:val="24"/>
              </w:rPr>
            </w:pPr>
          </w:p>
          <w:p w14:paraId="759C240B" w14:textId="77777777" w:rsidR="00DA770A" w:rsidRDefault="00DA770A">
            <w:pPr>
              <w:spacing w:line="360" w:lineRule="auto"/>
              <w:rPr>
                <w:rFonts w:ascii="Arial" w:hAnsi="Arial" w:cs="Arial"/>
                <w:color w:val="2F5597"/>
                <w:sz w:val="24"/>
                <w:szCs w:val="24"/>
              </w:rPr>
            </w:pPr>
            <w:r>
              <w:rPr>
                <w:rFonts w:ascii="Arial" w:hAnsi="Arial" w:cs="Arial"/>
                <w:color w:val="2F5597"/>
                <w:sz w:val="24"/>
                <w:szCs w:val="24"/>
              </w:rPr>
              <w:t xml:space="preserve">As the year comes to an end soon, we hope you will remember UF Law in your final charitable giving decisions for 2022. You can invest in the law school's continued success by making a tax-deductible online gift to support student scholarships today. </w:t>
            </w:r>
          </w:p>
        </w:tc>
      </w:tr>
      <w:tr w:rsidR="00DA770A" w14:paraId="27C01757" w14:textId="77777777" w:rsidTr="00DA770A">
        <w:trPr>
          <w:trHeight w:val="20"/>
        </w:trPr>
        <w:tc>
          <w:tcPr>
            <w:tcW w:w="0" w:type="auto"/>
            <w:shd w:val="clear" w:color="auto" w:fill="FFFFFF"/>
            <w:tcMar>
              <w:top w:w="150" w:type="dxa"/>
              <w:left w:w="0" w:type="dxa"/>
              <w:bottom w:w="150" w:type="dxa"/>
              <w:right w:w="0" w:type="dxa"/>
            </w:tcMar>
            <w:vAlign w:val="center"/>
            <w:hideMark/>
          </w:tcPr>
          <w:p w14:paraId="11F2B96C" w14:textId="77777777" w:rsidR="00DA770A" w:rsidRDefault="00DA770A">
            <w:r>
              <w:rPr>
                <w:rFonts w:ascii="Arial" w:hAnsi="Arial" w:cs="Arial"/>
                <w:noProof/>
                <w:color w:val="F37736"/>
                <w:sz w:val="24"/>
                <w:szCs w:val="24"/>
              </w:rPr>
              <w:drawing>
                <wp:inline distT="0" distB="0" distL="0" distR="0" wp14:anchorId="18384811" wp14:editId="4231682D">
                  <wp:extent cx="5716905" cy="842645"/>
                  <wp:effectExtent l="0" t="0" r="0" b="0"/>
                  <wp:docPr id="1" name="Picture 1" descr="I supporty my Alma Ma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supporty my Alma M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842645"/>
                          </a:xfrm>
                          <a:prstGeom prst="rect">
                            <a:avLst/>
                          </a:prstGeom>
                          <a:noFill/>
                          <a:ln>
                            <a:noFill/>
                          </a:ln>
                        </pic:spPr>
                      </pic:pic>
                    </a:graphicData>
                  </a:graphic>
                </wp:inline>
              </w:drawing>
            </w:r>
          </w:p>
        </w:tc>
      </w:tr>
    </w:tbl>
    <w:p w14:paraId="0F4C2A71" w14:textId="77777777" w:rsidR="00DA770A" w:rsidRDefault="00DA770A" w:rsidP="00DA770A">
      <w:pPr>
        <w:spacing w:line="0" w:lineRule="atLeast"/>
        <w:rPr>
          <w:rFonts w:ascii="Arial" w:hAnsi="Arial" w:cs="Arial"/>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A770A" w14:paraId="70694D92" w14:textId="77777777" w:rsidTr="00DA770A">
        <w:tc>
          <w:tcPr>
            <w:tcW w:w="0" w:type="auto"/>
            <w:shd w:val="clear" w:color="auto" w:fill="FFFFFF"/>
            <w:tcMar>
              <w:top w:w="300" w:type="dxa"/>
              <w:left w:w="600" w:type="dxa"/>
              <w:bottom w:w="300" w:type="dxa"/>
              <w:right w:w="600" w:type="dxa"/>
            </w:tcMar>
            <w:vAlign w:val="center"/>
            <w:hideMark/>
          </w:tcPr>
          <w:p w14:paraId="7804EF9D" w14:textId="77777777" w:rsidR="00DA770A" w:rsidRDefault="00DA770A">
            <w:pPr>
              <w:spacing w:line="276" w:lineRule="auto"/>
              <w:rPr>
                <w:rFonts w:ascii="Arial" w:hAnsi="Arial" w:cs="Arial"/>
                <w:sz w:val="24"/>
                <w:szCs w:val="24"/>
              </w:rPr>
            </w:pPr>
            <w:r>
              <w:rPr>
                <w:rFonts w:ascii="Arial" w:hAnsi="Arial" w:cs="Arial"/>
                <w:color w:val="2F5597"/>
                <w:sz w:val="24"/>
                <w:szCs w:val="24"/>
              </w:rPr>
              <w:t xml:space="preserve">Wishing you and yours a happy and healthy new year. </w:t>
            </w:r>
            <w:r>
              <w:rPr>
                <w:rFonts w:ascii="Arial" w:hAnsi="Arial" w:cs="Arial"/>
                <w:b/>
                <w:bCs/>
                <w:color w:val="2F5597"/>
                <w:sz w:val="24"/>
                <w:szCs w:val="24"/>
              </w:rPr>
              <w:t>GO GATORS!</w:t>
            </w:r>
            <w:r>
              <w:rPr>
                <w:rFonts w:ascii="Arial" w:hAnsi="Arial" w:cs="Arial"/>
                <w:color w:val="2F5597"/>
                <w:sz w:val="24"/>
                <w:szCs w:val="24"/>
              </w:rPr>
              <w:br/>
            </w:r>
            <w:r>
              <w:rPr>
                <w:rFonts w:ascii="Arial" w:hAnsi="Arial" w:cs="Arial"/>
                <w:color w:val="2F5597"/>
                <w:sz w:val="24"/>
                <w:szCs w:val="24"/>
              </w:rPr>
              <w:br/>
              <w:t>Sincerely,</w:t>
            </w:r>
            <w:r>
              <w:rPr>
                <w:rFonts w:ascii="Arial" w:hAnsi="Arial" w:cs="Arial"/>
                <w:color w:val="2F5597"/>
                <w:sz w:val="24"/>
                <w:szCs w:val="24"/>
              </w:rPr>
              <w:br/>
            </w:r>
            <w:r>
              <w:rPr>
                <w:rFonts w:ascii="Arial" w:hAnsi="Arial" w:cs="Arial"/>
                <w:color w:val="2F5597"/>
                <w:sz w:val="24"/>
                <w:szCs w:val="24"/>
              </w:rPr>
              <w:br/>
              <w:t>The Office of Development &amp; Alumni Affairs</w:t>
            </w:r>
            <w:r>
              <w:rPr>
                <w:rFonts w:ascii="Arial" w:hAnsi="Arial" w:cs="Arial"/>
                <w:color w:val="2F5597"/>
                <w:sz w:val="24"/>
                <w:szCs w:val="24"/>
              </w:rPr>
              <w:br/>
              <w:t>Levin College of Law</w:t>
            </w:r>
            <w:r>
              <w:rPr>
                <w:rFonts w:ascii="Arial" w:hAnsi="Arial" w:cs="Arial"/>
                <w:color w:val="2F5597"/>
                <w:sz w:val="24"/>
                <w:szCs w:val="24"/>
              </w:rPr>
              <w:br/>
              <w:t>University of Florida</w:t>
            </w:r>
          </w:p>
        </w:tc>
      </w:tr>
    </w:tbl>
    <w:p w14:paraId="12D1DDD7" w14:textId="77777777" w:rsidR="00CC6BB3" w:rsidRDefault="00CC6BB3"/>
    <w:sectPr w:rsidR="00CC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0A"/>
    <w:rsid w:val="002023AB"/>
    <w:rsid w:val="00CC6BB3"/>
    <w:rsid w:val="00D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1F3A"/>
  <w15:chartTrackingRefBased/>
  <w15:docId w15:val="{71278D00-27EE-4D87-8E60-E9BE02C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ff.ufl.edu/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Van Hout</dc:creator>
  <cp:keywords/>
  <dc:description/>
  <cp:lastModifiedBy>Intravaia, Amanda</cp:lastModifiedBy>
  <cp:revision>2</cp:revision>
  <dcterms:created xsi:type="dcterms:W3CDTF">2022-12-19T20:05:00Z</dcterms:created>
  <dcterms:modified xsi:type="dcterms:W3CDTF">2022-12-19T20:05:00Z</dcterms:modified>
</cp:coreProperties>
</file>